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F2" w:rsidRDefault="008F0AF2" w:rsidP="008F0AF2">
      <w:pPr>
        <w:jc w:val="center"/>
        <w:rPr>
          <w:rFonts w:ascii="方正小标宋简体" w:eastAsia="方正小标宋简体" w:hAnsi="黑体" w:cs="Times New Roman"/>
          <w:sz w:val="32"/>
          <w:szCs w:val="28"/>
        </w:rPr>
      </w:pPr>
      <w:r w:rsidRPr="008F0AF2">
        <w:rPr>
          <w:rFonts w:ascii="方正小标宋简体" w:eastAsia="方正小标宋简体" w:hAnsi="黑体" w:cs="Times New Roman" w:hint="eastAsia"/>
          <w:sz w:val="32"/>
          <w:szCs w:val="28"/>
        </w:rPr>
        <w:t>宁波职业技术学院在线开放课程建设要求与技术规范</w:t>
      </w:r>
    </w:p>
    <w:p w:rsidR="008F0AF2" w:rsidRPr="00582EA4" w:rsidRDefault="008F0AF2" w:rsidP="008F0AF2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28"/>
          <w:szCs w:val="28"/>
        </w:rPr>
        <w:t>宁波职业技术学院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在线开放课程包括职业教育专业教学资源库、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MOOC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SPOC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以及其他形式的在线开放课程。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属于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职业教育专业教学资源库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的标准化课程按照该资源库建设规划及标准执行，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M</w:t>
      </w:r>
      <w:r>
        <w:rPr>
          <w:rFonts w:ascii="Times New Roman" w:eastAsia="仿宋_GB2312" w:hAnsi="Times New Roman" w:cs="Times New Roman"/>
          <w:sz w:val="28"/>
          <w:szCs w:val="28"/>
        </w:rPr>
        <w:t>OOC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sz w:val="28"/>
          <w:szCs w:val="28"/>
        </w:rPr>
        <w:t>SPOC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及其他形式的在线开放课程按如下要求执行。</w:t>
      </w:r>
    </w:p>
    <w:p w:rsidR="008F0AF2" w:rsidRPr="00132030" w:rsidRDefault="008F0AF2" w:rsidP="008F0AF2">
      <w:pPr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 w:rsidRPr="00132030">
        <w:rPr>
          <w:rFonts w:ascii="黑体" w:eastAsia="黑体" w:hAnsi="黑体" w:cs="Times New Roman"/>
          <w:sz w:val="28"/>
          <w:szCs w:val="28"/>
        </w:rPr>
        <w:t>一、课程建设总体要求</w:t>
      </w:r>
    </w:p>
    <w:p w:rsidR="008F0AF2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课程理念与目标定位。拥有先进的教学理念、教学改革热情与资源共享的意识。了解网络教学规律、学生的网络学习与认知规律、交互式学习课程的特性，在教学中积极推进信息技术与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课堂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教学的深度融合。了解该课程主要学习群体的需求，有明确的课程学习目标。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应以用户需求为导向、结合专业特点、统筹资源建设以及共建共享机制开展课程建设。</w:t>
      </w:r>
      <w:r w:rsidRPr="00222423">
        <w:rPr>
          <w:rFonts w:ascii="Times New Roman" w:eastAsia="仿宋_GB2312" w:hAnsi="Times New Roman" w:cs="Times New Roman"/>
          <w:sz w:val="28"/>
          <w:szCs w:val="28"/>
        </w:rPr>
        <w:t>根据每门课程的育人功能，把社会主义核心价值观的要求，把实现民族复兴的理想和责任融入课程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建设和</w:t>
      </w:r>
      <w:r w:rsidRPr="00222423">
        <w:rPr>
          <w:rFonts w:ascii="Times New Roman" w:eastAsia="仿宋_GB2312" w:hAnsi="Times New Roman" w:cs="Times New Roman"/>
          <w:sz w:val="28"/>
          <w:szCs w:val="28"/>
        </w:rPr>
        <w:t>教学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应用</w:t>
      </w:r>
      <w:r w:rsidRPr="00222423">
        <w:rPr>
          <w:rFonts w:ascii="Times New Roman" w:eastAsia="仿宋_GB2312" w:hAnsi="Times New Roman" w:cs="Times New Roman"/>
          <w:sz w:val="28"/>
          <w:szCs w:val="28"/>
        </w:rPr>
        <w:t>之中。</w:t>
      </w:r>
    </w:p>
    <w:p w:rsidR="008F0AF2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教学内容与资源。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所建课程应贯彻专业教学标准、展现教学内容与课程体系改革成果、融入创新创业教育、</w:t>
      </w:r>
      <w:r w:rsidRPr="00222423">
        <w:rPr>
          <w:rFonts w:ascii="Times New Roman" w:eastAsia="仿宋_GB2312" w:hAnsi="Times New Roman" w:cs="Times New Roman"/>
          <w:sz w:val="28"/>
          <w:szCs w:val="28"/>
        </w:rPr>
        <w:t>充分发掘和运用各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专业</w:t>
      </w:r>
      <w:r w:rsidRPr="00222423">
        <w:rPr>
          <w:rFonts w:ascii="Times New Roman" w:eastAsia="仿宋_GB2312" w:hAnsi="Times New Roman" w:cs="Times New Roman"/>
          <w:sz w:val="28"/>
          <w:szCs w:val="28"/>
        </w:rPr>
        <w:t>蕴含的思想政治教育资源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，满足</w:t>
      </w:r>
      <w:r w:rsidRPr="000449EB">
        <w:rPr>
          <w:rFonts w:ascii="Times New Roman" w:eastAsia="仿宋_GB2312" w:hAnsi="Times New Roman" w:cs="Times New Roman" w:hint="eastAsia"/>
          <w:sz w:val="28"/>
          <w:szCs w:val="28"/>
        </w:rPr>
        <w:t>网络学习和线上线下混合教学的需要；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根据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职业教育要求，明确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教学目标、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专业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特点、学生认知规律及教学方式，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涵盖专业教学标准规定内容，颗粒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化组织教学内容及资源、设置教学情境，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重点建设基于</w:t>
      </w:r>
      <w:r w:rsidRPr="00101554">
        <w:rPr>
          <w:rFonts w:ascii="Times New Roman" w:eastAsia="仿宋_GB2312" w:hAnsi="Times New Roman" w:cs="Times New Roman" w:hint="eastAsia"/>
          <w:sz w:val="28"/>
          <w:szCs w:val="28"/>
        </w:rPr>
        <w:t>典型工作任务或重点技能训练模块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的素材，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形成围绕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专业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知识点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（技能点）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展开、清晰表达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职业教育培养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框架的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素材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集。知识点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（技能点）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覆盖面达到课程定位的要求，教学内容适合学习者认知特征，理论联系实际，内容实用性、实践性和时效性强，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lastRenderedPageBreak/>
        <w:t>融知识传授、能力培养于一体。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应</w:t>
      </w:r>
      <w:r w:rsidRPr="00222423">
        <w:rPr>
          <w:rFonts w:ascii="Times New Roman" w:eastAsia="仿宋_GB2312" w:hAnsi="Times New Roman" w:cs="Times New Roman"/>
          <w:sz w:val="28"/>
          <w:szCs w:val="28"/>
        </w:rPr>
        <w:t>确保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建设课程</w:t>
      </w:r>
      <w:r w:rsidRPr="00222423">
        <w:rPr>
          <w:rFonts w:ascii="Times New Roman" w:eastAsia="仿宋_GB2312" w:hAnsi="Times New Roman" w:cs="Times New Roman"/>
          <w:sz w:val="28"/>
          <w:szCs w:val="28"/>
        </w:rPr>
        <w:t>在政治立场、价值导向、科学性等方面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的导向正确</w:t>
      </w:r>
      <w:r w:rsidRPr="00222423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应以学生为中心组织学习内容、建设学习资源，课程资源应力求丰富多样，合理使用文本、图形（图像）、音频、视频、动画和虚拟仿真等各类素材，</w:t>
      </w:r>
      <w:r w:rsidRPr="00967E6C">
        <w:rPr>
          <w:rFonts w:ascii="Times New Roman" w:eastAsia="仿宋_GB2312" w:hAnsi="Times New Roman" w:cs="Times New Roman" w:hint="eastAsia"/>
          <w:sz w:val="28"/>
          <w:szCs w:val="28"/>
        </w:rPr>
        <w:t>提高视频类、动画类、虚拟仿真类资源的占比。视频类素材注重叙事性和完整性，以“微课程”为主要形式，用于讲解知识点或技能点；动画类素材注重逻辑规律运动的形象表达，将抽象微观黑箱的概念可视化，用于演示抽象概念、复杂结构、复杂运动等；虚拟仿真类素材注重现场感和体验，主要用于展现“看不见、进不去、动不得、难再现”等不能开展现场教学的场景环境过程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每个短视频以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5-15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分钟时长为宜，针对各模块知识点或专题应设置内嵌测试的作业题或讨论题，以帮助学习者掌握学习内容或测试学习者学习效果。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每门课程应有负责人介绍、课程介绍、教学大纲、预备知识、教学辅导、参考资料、考核方式、在线作业、在线题库和在线答疑等。课程设置应与课堂教学的要求相当。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教学设计与方法。要遵循有效教学的基本规律，结合在线开放课程教学的特征与需求进行整体的教学设计。围绕教学目标精心设计教学活动，科学规划在线学习资源，明确学业评价策略和学习激励措施。课程设计、教学安排和呈现方式符合学习者移动学习和混合式教学的需求。开展在线学习与课堂教学相结合、翻转课堂等多种方式的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lastRenderedPageBreak/>
        <w:t>课堂教学模式，优先支持具有混合式学习等改革实践经验的课程。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教学活动与评价。要重视学习任务与活动设计，积极开展案例式、混合式、探究式等多种新型教学模式的学习，通过网页插入式在线测试、即时网上辅导反馈、线上线下讨论、网上作业提交和批改、网上社区讨论等，促进师生之间、学生之间进行资源共享、问题交流和协作学习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建立多元化学习评价体系，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探索线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上和线下融合，过程性评价与终结性评价相结合的多元化考核评价模式，促进学生自主性学习、过程性学习和体验式学习。课程成绩由过程性考核和终结性考核综合评定。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教学效果与影响。要注重对教学效果的跟踪评价并开展教学研究工作。基于大数据信息采集分析，全程记录和跟踪教师的教学和学生的学习过程、内容、反馈，全面跟踪和掌握每个学生的个性特点、学习行为，改进学校及教师的教学质量，促进因材施教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充分发挥课程共享作用，推进在线开放课程学分认定和学分管理制度创新。支持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与其他院校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之间在合作、共赢、协议的基础上实现在线开放共享课程的互认。课程的初始学分由推荐该课程的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学校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设定，其它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学校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可在双方协议的基础上，根据本校专业设置和课程学分设置标准自行认定学分。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团队支持与服务。课程建设负责人应为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学校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正式聘用，具有丰富教学经验和较高学术造诣的教师，课程组成员均在教学一线长期承担本课程教学任务。支持和鼓励教学名师、知名专家主讲开放课程。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lastRenderedPageBreak/>
        <w:t>除主讲教师外，还需配备必要助理教师和现代教育技术人员，能长期在线服务课程建设，承担课程内容更新、在线辅导、答疑等。课程正式运行后，能保证每学年都对外校开放。课程团队应负责课程相关教师的培训及教学研讨工作。通过在线开放课程建设，形成一支教学、辅导、设计和技术支持等结构合理、人员稳定、教学水平高、教学效果好、资源设计和制作能力强的优秀课程教学团队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7.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信息安全及知识产权保障。严格遵守国家网络与信息安全管理规范，依法依规开展教学活动，实施对课程内容、讨论内容、学习过程内容的有效监管，防范和及时制止网络有害信息的传播。重视版权和知识产权问题，构建课程内容所使用的图片、音视频等素材应注明出处。相关高校、课程建设团队均须签订平等互利的知识产权保障协议，明确各方权利和义务，切实保障各方权益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8.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课程运行与管理。立项课程需在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学校认可的在线开放课程公共服务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平台上运行，提供授课视频以及各种文字形式的教学资源，并建设网上授课所需的所有资源，能够开展在线学习、作业、考试、答疑和讨论等。</w:t>
      </w:r>
    </w:p>
    <w:p w:rsidR="008F0AF2" w:rsidRPr="00132030" w:rsidRDefault="008F0AF2" w:rsidP="00132030">
      <w:pPr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 w:rsidRPr="00132030">
        <w:rPr>
          <w:rFonts w:ascii="黑体" w:eastAsia="黑体" w:hAnsi="黑体" w:cs="Times New Roman"/>
          <w:sz w:val="28"/>
          <w:szCs w:val="28"/>
        </w:rPr>
        <w:t>二、课程视频制作规范</w:t>
      </w:r>
    </w:p>
    <w:p w:rsidR="008F0AF2" w:rsidRPr="00132030" w:rsidRDefault="008F0AF2" w:rsidP="008F0AF2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132030">
        <w:rPr>
          <w:rFonts w:ascii="楷体" w:eastAsia="楷体" w:hAnsi="楷体" w:cs="Times New Roman"/>
          <w:sz w:val="28"/>
          <w:szCs w:val="28"/>
        </w:rPr>
        <w:t>（一）视频内容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屏幕图像的构图合理，画面主体突出。人像及肢体动作以及配合讲授选用的板书、画板、教具实物、模型和实验设备等均不能超出镜头所及范围。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演播室使用的背景采用彩色喷绘或电脑虚拟、实景等背景。建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lastRenderedPageBreak/>
        <w:t>议采用彩色喷绘背景。背景的颜色、图案不易过多，应保持静态，画面应简洁、明快，有利于营造课堂气氛。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授课视频中主讲教师应姿势端正，衣着整洁大方，避免</w:t>
      </w:r>
      <w:r w:rsidR="00AA085C">
        <w:rPr>
          <w:rFonts w:ascii="Times New Roman" w:eastAsia="仿宋_GB2312" w:hAnsi="Times New Roman" w:cs="Times New Roman" w:hint="eastAsia"/>
          <w:sz w:val="28"/>
          <w:szCs w:val="28"/>
        </w:rPr>
        <w:t>穿着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细条纹、细格子、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密点</w:t>
      </w:r>
      <w:r w:rsidR="00AA085C">
        <w:rPr>
          <w:rFonts w:ascii="Times New Roman" w:eastAsia="仿宋_GB2312" w:hAnsi="Times New Roman" w:cs="Times New Roman" w:hint="eastAsia"/>
          <w:sz w:val="28"/>
          <w:szCs w:val="28"/>
        </w:rPr>
        <w:t>花纹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的衣服。主讲教师目光应与摄像头平视，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教态</w:t>
      </w:r>
      <w:r w:rsidR="00AA085C">
        <w:rPr>
          <w:rFonts w:ascii="Times New Roman" w:eastAsia="仿宋_GB2312" w:hAnsi="Times New Roman" w:cs="Times New Roman" w:hint="eastAsia"/>
          <w:sz w:val="28"/>
          <w:szCs w:val="28"/>
        </w:rPr>
        <w:t>端庄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大方、语言流畅、语速适中、肢体语言适度，不应较长时间仰视或俯视。主讲教师应使用普通话，用语规范，语言表述清晰，流畅、简洁，避免重复性口头语，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语速较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平时课堂授课稍快。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使用资料、图片、外景实拍、实验和表演等形象化教学手段，应符合教学内容要求，与讲授内容联系紧密，手段选用恰当。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选用影视作品或自拍素材，应注明素材来源。影视作品或自拍素材中涉及人物访谈内容时，除应加注人物介绍外，还应采用滚动式同声字幕。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选用的资料、图片等素材画面应清楚，对于历史资料、图片应进行再加工。选用的资料、图片等素材应注明素材来源及原始信息（如字画的作品、生卒年月，影视片断的作品名称、创作年代等信息）。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7.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动画的设计与使用，要与课程内容相贴切，能够发挥良好的教学效果。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8.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动画的实现须流畅、合理、图像清晰，具有较强的可视性。</w:t>
      </w:r>
    </w:p>
    <w:p w:rsidR="008F0AF2" w:rsidRPr="00132030" w:rsidRDefault="008F0AF2" w:rsidP="008F0AF2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132030">
        <w:rPr>
          <w:rFonts w:ascii="楷体" w:eastAsia="楷体" w:hAnsi="楷体" w:cs="Times New Roman"/>
          <w:sz w:val="28"/>
          <w:szCs w:val="28"/>
        </w:rPr>
        <w:t>（二）视频技术规格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视频信号源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）稳定性：全片图像同步性能稳定，无失步现象，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CTL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同步控制信号必须连续：图像无抖动跳跃，色彩无突变，编辑点处图像稳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lastRenderedPageBreak/>
        <w:t>定。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）信噪比：图像信噪比不低于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55dB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，无明显杂波。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）色调：白平衡正确，无明显偏色，多机拍摄的镜头衔接处无明显色差。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4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）视频电平：视频全讯号幅度为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1Ⅴp-p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，最大不超过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1.1Ⅴ p-p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。其中，消隐电平为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0V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时，白电平幅度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0.7Ⅴp-p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，同步信号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-0.3V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，色同步信号幅度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0.3V p-p (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以消隐线上下对称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)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，全片一致。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音频信号源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）声道：中文内容音频信号记录于第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声道，音乐、音效、同期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声记录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于第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声道，若有其他文字解说记录于第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声道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(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如录音设备无第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声道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,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则录于第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声道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)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）电平指标：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-2db —— -8db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声音应无明显失真、放音过冲、过弱。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）音频信噪比不低于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48db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4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）声音和画面要求同步，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无交流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声或其他杂音等缺陷。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5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）伴音清晰、饱满、圆润，无失真、噪声杂音干扰、音量忽大忽小现象。解说声与现场声无明显比例失调，解说声与背景音乐无明显比例失调。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3.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视频压缩格式及技术参数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）视频压缩采用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H.264/AVC (MPEG-4 Part10)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编码、使用二次编码、不包含字幕的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MP4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格式。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）视频码流率：动态码流的最低码率不得低于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1024Kb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lastRenderedPageBreak/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）视频分辨率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前期采用标清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4:3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拍摄时，请设定为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 xml:space="preserve"> 720×576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前期采用高清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16:9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拍摄时，请设定为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 xml:space="preserve"> 1280×720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或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1920×1080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4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）视频画幅宽高比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分辨率设定为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 xml:space="preserve"> 720×576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的，请选定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 xml:space="preserve"> 4:3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分辨率设定为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1280×720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或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1920×1080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的，请选定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 xml:space="preserve"> 16:9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5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视频帧率为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25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帧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/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秒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6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）扫描方式采用逐行扫描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4.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音频压缩格式及技术参数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）音频压缩采用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AAC(MPEG4 Part3)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格式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）采样率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48KHz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）音频码流率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128Kbps (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恒定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4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）必须是双声道，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必须做混音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处理。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5.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封装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视频采用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MP4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封装，单个视频文件小于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200MB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字幕文件采用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SRT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格式，中英文字幕需分成两个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STR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文件。</w:t>
      </w:r>
    </w:p>
    <w:p w:rsidR="008F0AF2" w:rsidRPr="00132030" w:rsidRDefault="008F0AF2" w:rsidP="008F0AF2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132030">
        <w:rPr>
          <w:rFonts w:ascii="楷体" w:eastAsia="楷体" w:hAnsi="楷体" w:cs="Times New Roman"/>
          <w:sz w:val="28"/>
          <w:szCs w:val="28"/>
        </w:rPr>
        <w:t>（三）演示文稿（PPT）制作规范</w:t>
      </w:r>
    </w:p>
    <w:p w:rsidR="008F0AF2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1.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制作原则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）演示文稿（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PPT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）要求集文字、图形、图像、声音以及视频等多种媒体元素于一体，一般不使用纯文字的演示文稿（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PPT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）页面设置要求符合高清格式比例，幻灯片大小为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全屏显示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16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9”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lastRenderedPageBreak/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）整体效果应风格统一、色彩协调、美观大方。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2.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字体与字号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字体与字号参照下表：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417"/>
        <w:gridCol w:w="1418"/>
        <w:gridCol w:w="1559"/>
        <w:gridCol w:w="1355"/>
      </w:tblGrid>
      <w:tr w:rsidR="008F0AF2" w:rsidTr="00935C60">
        <w:trPr>
          <w:trHeight w:val="567"/>
        </w:trPr>
        <w:tc>
          <w:tcPr>
            <w:tcW w:w="846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874C01">
              <w:rPr>
                <w:rFonts w:ascii="黑体" w:eastAsia="黑体" w:hAnsi="黑体" w:cs="Times New Roman"/>
                <w:sz w:val="24"/>
                <w:szCs w:val="28"/>
              </w:rPr>
              <w:t>类型</w:t>
            </w:r>
          </w:p>
        </w:tc>
        <w:tc>
          <w:tcPr>
            <w:tcW w:w="1701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874C01">
              <w:rPr>
                <w:rFonts w:ascii="黑体" w:eastAsia="黑体" w:hAnsi="黑体" w:cs="Times New Roman"/>
                <w:sz w:val="24"/>
                <w:szCs w:val="28"/>
              </w:rPr>
              <w:t>大标题</w:t>
            </w:r>
          </w:p>
        </w:tc>
        <w:tc>
          <w:tcPr>
            <w:tcW w:w="1417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874C01">
              <w:rPr>
                <w:rFonts w:ascii="黑体" w:eastAsia="黑体" w:hAnsi="黑体" w:cs="Times New Roman"/>
                <w:sz w:val="24"/>
                <w:szCs w:val="28"/>
              </w:rPr>
              <w:t>主讲信息</w:t>
            </w:r>
          </w:p>
        </w:tc>
        <w:tc>
          <w:tcPr>
            <w:tcW w:w="1418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874C01">
              <w:rPr>
                <w:rFonts w:ascii="黑体" w:eastAsia="黑体" w:hAnsi="黑体" w:cs="Times New Roman"/>
                <w:sz w:val="24"/>
                <w:szCs w:val="28"/>
              </w:rPr>
              <w:t>一级标题</w:t>
            </w:r>
          </w:p>
        </w:tc>
        <w:tc>
          <w:tcPr>
            <w:tcW w:w="1559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874C01">
              <w:rPr>
                <w:rFonts w:ascii="黑体" w:eastAsia="黑体" w:hAnsi="黑体" w:cs="Times New Roman"/>
                <w:sz w:val="24"/>
                <w:szCs w:val="28"/>
              </w:rPr>
              <w:t>正文</w:t>
            </w:r>
          </w:p>
        </w:tc>
        <w:tc>
          <w:tcPr>
            <w:tcW w:w="1355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874C01">
              <w:rPr>
                <w:rFonts w:ascii="黑体" w:eastAsia="黑体" w:hAnsi="黑体" w:cs="Times New Roman"/>
                <w:sz w:val="24"/>
                <w:szCs w:val="28"/>
              </w:rPr>
              <w:t>字幕</w:t>
            </w:r>
          </w:p>
        </w:tc>
      </w:tr>
      <w:tr w:rsidR="008F0AF2" w:rsidTr="00935C60">
        <w:trPr>
          <w:trHeight w:val="567"/>
        </w:trPr>
        <w:tc>
          <w:tcPr>
            <w:tcW w:w="846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874C01">
              <w:rPr>
                <w:rFonts w:ascii="黑体" w:eastAsia="黑体" w:hAnsi="黑体" w:cs="Times New Roman"/>
                <w:sz w:val="24"/>
                <w:szCs w:val="28"/>
              </w:rPr>
              <w:t>字体</w:t>
            </w:r>
          </w:p>
        </w:tc>
        <w:tc>
          <w:tcPr>
            <w:tcW w:w="1701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大黑、时尚中黑、大隶书</w:t>
            </w:r>
          </w:p>
        </w:tc>
        <w:tc>
          <w:tcPr>
            <w:tcW w:w="1417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黑体</w:t>
            </w:r>
          </w:p>
        </w:tc>
        <w:tc>
          <w:tcPr>
            <w:tcW w:w="1418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黑体、魏碑、大宋</w:t>
            </w:r>
          </w:p>
        </w:tc>
        <w:tc>
          <w:tcPr>
            <w:tcW w:w="1559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雅黑、中宋</w:t>
            </w:r>
          </w:p>
        </w:tc>
        <w:tc>
          <w:tcPr>
            <w:tcW w:w="1355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雅黑</w:t>
            </w:r>
          </w:p>
        </w:tc>
      </w:tr>
      <w:tr w:rsidR="008F0AF2" w:rsidTr="00935C60">
        <w:trPr>
          <w:trHeight w:val="567"/>
        </w:trPr>
        <w:tc>
          <w:tcPr>
            <w:tcW w:w="846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874C01">
              <w:rPr>
                <w:rFonts w:ascii="黑体" w:eastAsia="黑体" w:hAnsi="黑体" w:cs="Times New Roman"/>
                <w:sz w:val="24"/>
                <w:szCs w:val="28"/>
              </w:rPr>
              <w:t>字号</w:t>
            </w:r>
          </w:p>
        </w:tc>
        <w:tc>
          <w:tcPr>
            <w:tcW w:w="1701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50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～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70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磅</w:t>
            </w:r>
          </w:p>
        </w:tc>
        <w:tc>
          <w:tcPr>
            <w:tcW w:w="1417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36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～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40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磅</w:t>
            </w:r>
          </w:p>
        </w:tc>
        <w:tc>
          <w:tcPr>
            <w:tcW w:w="1418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36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～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40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磅</w:t>
            </w:r>
          </w:p>
        </w:tc>
        <w:tc>
          <w:tcPr>
            <w:tcW w:w="1559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24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～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32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磅</w:t>
            </w:r>
          </w:p>
        </w:tc>
        <w:tc>
          <w:tcPr>
            <w:tcW w:w="1355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32</w:t>
            </w: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磅</w:t>
            </w:r>
          </w:p>
        </w:tc>
      </w:tr>
      <w:tr w:rsidR="008F0AF2" w:rsidTr="00935C60">
        <w:trPr>
          <w:trHeight w:val="567"/>
        </w:trPr>
        <w:tc>
          <w:tcPr>
            <w:tcW w:w="846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874C01">
              <w:rPr>
                <w:rFonts w:ascii="黑体" w:eastAsia="黑体" w:hAnsi="黑体" w:cs="Times New Roman"/>
                <w:sz w:val="24"/>
                <w:szCs w:val="28"/>
              </w:rPr>
              <w:t>应用</w:t>
            </w:r>
          </w:p>
        </w:tc>
        <w:tc>
          <w:tcPr>
            <w:tcW w:w="1701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上下左右居中</w:t>
            </w:r>
          </w:p>
        </w:tc>
        <w:tc>
          <w:tcPr>
            <w:tcW w:w="1417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左右居中</w:t>
            </w:r>
          </w:p>
        </w:tc>
        <w:tc>
          <w:tcPr>
            <w:tcW w:w="1418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左右居中</w:t>
            </w:r>
          </w:p>
        </w:tc>
        <w:tc>
          <w:tcPr>
            <w:tcW w:w="1559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左对齐或居中</w:t>
            </w:r>
          </w:p>
        </w:tc>
        <w:tc>
          <w:tcPr>
            <w:tcW w:w="1355" w:type="dxa"/>
            <w:vAlign w:val="center"/>
          </w:tcPr>
          <w:p w:rsidR="008F0AF2" w:rsidRPr="00874C01" w:rsidRDefault="008F0AF2" w:rsidP="00935C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74C01">
              <w:rPr>
                <w:rFonts w:ascii="Times New Roman" w:eastAsia="仿宋_GB2312" w:hAnsi="Times New Roman" w:cs="Times New Roman"/>
                <w:sz w:val="24"/>
                <w:szCs w:val="28"/>
              </w:rPr>
              <w:t>左右居中</w:t>
            </w:r>
          </w:p>
        </w:tc>
      </w:tr>
    </w:tbl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3.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版心与版式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每一页面内容相对完整，文字精炼、概括性强，信息量适中，内容占总页面的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65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％～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75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％为宜，每页四周留出空白，应避免内容顶到页面边缘，边界安全区域分别为左、右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130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像素内，上、下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90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像素内。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页面内容正确、科学，表达准确，用语规范，无政治性错误与错别字。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尽量增加页面内容的可视化，信息呈现符合视觉习惯与视觉心理，可通过改变颜色、字体等加粗等方法对重点内容进行标注，引导学习者注意。页面设置符合高清格式比例，幻灯片大小为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全屏显示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16:9”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4.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背景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）背景色以简洁适中饱和度为主（颜色保持在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一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至两种色系内）；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）背景和场景不宜变化过多；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）文字、图形等内容应与背景对比醒目。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lastRenderedPageBreak/>
        <w:t xml:space="preserve">5.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色调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）色彩的选配应与课程科目相吻合；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）每一短视频或一系列短视频在配色上应体现出系统性，可选一种主色调再加上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一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至两种辅助色进行匹配；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）同一屏</w:t>
      </w:r>
      <w:proofErr w:type="gramStart"/>
      <w:r w:rsidRPr="0044070E">
        <w:rPr>
          <w:rFonts w:ascii="Times New Roman" w:eastAsia="仿宋_GB2312" w:hAnsi="Times New Roman" w:cs="Times New Roman"/>
          <w:sz w:val="28"/>
          <w:szCs w:val="28"/>
        </w:rPr>
        <w:t>里文字</w:t>
      </w:r>
      <w:proofErr w:type="gramEnd"/>
      <w:r w:rsidRPr="0044070E">
        <w:rPr>
          <w:rFonts w:ascii="Times New Roman" w:eastAsia="仿宋_GB2312" w:hAnsi="Times New Roman" w:cs="Times New Roman"/>
          <w:sz w:val="28"/>
          <w:szCs w:val="28"/>
        </w:rPr>
        <w:t>不宜超出三种颜色。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6.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字距与行距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）标题：在文字少的情形下，字距放宽一倍体现舒展性；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）正文：行距使用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行或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1.5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行，便于阅读。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配图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）图像应清晰并能反映出内容主题思想，分辨率应上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72dpi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以上；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）图片不可加长或压窄，防止变形；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）图形使用应通俗易懂，便于理解。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 xml:space="preserve">8.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修饰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）细线条的运用比粗线条更显精致；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2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）扁平式的装饰更接近时代审美；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3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）有趣味的装饰通常更能吸引人。</w:t>
      </w:r>
    </w:p>
    <w:p w:rsidR="008F0AF2" w:rsidRPr="0044070E" w:rsidRDefault="008F0AF2" w:rsidP="008F0AF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 xml:space="preserve">9. 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版权来源</w:t>
      </w:r>
    </w:p>
    <w:p w:rsidR="008F0AF2" w:rsidRPr="0044070E" w:rsidRDefault="008F0AF2" w:rsidP="00CF4284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070E">
        <w:rPr>
          <w:rFonts w:ascii="Times New Roman" w:eastAsia="仿宋_GB2312" w:hAnsi="Times New Roman" w:cs="Times New Roman"/>
          <w:sz w:val="28"/>
          <w:szCs w:val="28"/>
        </w:rPr>
        <w:t>素材选用注意版权，涉及版权问题须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在显著位置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加入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版权来源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 w:rsidRPr="0044070E">
        <w:rPr>
          <w:rFonts w:ascii="Times New Roman" w:eastAsia="仿宋_GB2312" w:hAnsi="Times New Roman" w:cs="Times New Roman"/>
          <w:sz w:val="28"/>
          <w:szCs w:val="28"/>
        </w:rPr>
        <w:t>信息。</w:t>
      </w:r>
    </w:p>
    <w:p w:rsidR="0080061B" w:rsidRPr="008F0AF2" w:rsidRDefault="008700FB"/>
    <w:sectPr w:rsidR="0080061B" w:rsidRPr="008F0AF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0FB" w:rsidRDefault="008700FB" w:rsidP="000D2BBF">
      <w:r>
        <w:separator/>
      </w:r>
    </w:p>
  </w:endnote>
  <w:endnote w:type="continuationSeparator" w:id="0">
    <w:p w:rsidR="008700FB" w:rsidRDefault="008700FB" w:rsidP="000D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8052566"/>
      <w:docPartObj>
        <w:docPartGallery w:val="Page Numbers (Bottom of Page)"/>
        <w:docPartUnique/>
      </w:docPartObj>
    </w:sdtPr>
    <w:sdtEndPr/>
    <w:sdtContent>
      <w:p w:rsidR="000D2BBF" w:rsidRDefault="000D2B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0D2BBF" w:rsidRDefault="000D2B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0FB" w:rsidRDefault="008700FB" w:rsidP="000D2BBF">
      <w:r>
        <w:separator/>
      </w:r>
    </w:p>
  </w:footnote>
  <w:footnote w:type="continuationSeparator" w:id="0">
    <w:p w:rsidR="008700FB" w:rsidRDefault="008700FB" w:rsidP="000D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F2"/>
    <w:rsid w:val="000D2BBF"/>
    <w:rsid w:val="00132030"/>
    <w:rsid w:val="00264ED2"/>
    <w:rsid w:val="003170CA"/>
    <w:rsid w:val="0040597A"/>
    <w:rsid w:val="0049429B"/>
    <w:rsid w:val="00611832"/>
    <w:rsid w:val="00672C53"/>
    <w:rsid w:val="008700FB"/>
    <w:rsid w:val="008F0AF2"/>
    <w:rsid w:val="00AA085C"/>
    <w:rsid w:val="00C6388D"/>
    <w:rsid w:val="00C97C88"/>
    <w:rsid w:val="00C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E52A6-FA00-4CDD-83CE-F07BB48F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2B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2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2B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QM</dc:creator>
  <cp:keywords/>
  <dc:description/>
  <cp:lastModifiedBy>G QM</cp:lastModifiedBy>
  <cp:revision>7</cp:revision>
  <dcterms:created xsi:type="dcterms:W3CDTF">2018-09-23T02:38:00Z</dcterms:created>
  <dcterms:modified xsi:type="dcterms:W3CDTF">2018-10-09T06:49:00Z</dcterms:modified>
</cp:coreProperties>
</file>